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51AB7" w14:textId="77777777" w:rsidR="005C2D3F" w:rsidRPr="00CB7CA5" w:rsidRDefault="005C2D3F" w:rsidP="005C2D3F">
      <w:pPr>
        <w:ind w:left="720" w:hanging="720"/>
        <w:rPr>
          <w:rFonts w:cs="Arial"/>
          <w:b/>
          <w:szCs w:val="22"/>
          <w:u w:val="single"/>
        </w:rPr>
      </w:pPr>
      <w:r w:rsidRPr="00CB7CA5">
        <w:rPr>
          <w:rFonts w:cs="Arial"/>
          <w:b/>
          <w:szCs w:val="22"/>
        </w:rPr>
        <w:t>I.</w:t>
      </w:r>
      <w:r w:rsidRPr="00CB7CA5">
        <w:rPr>
          <w:rFonts w:cs="Arial"/>
          <w:b/>
          <w:szCs w:val="22"/>
        </w:rPr>
        <w:tab/>
      </w:r>
      <w:r w:rsidRPr="00CB7CA5">
        <w:rPr>
          <w:rFonts w:cs="Arial"/>
          <w:b/>
          <w:szCs w:val="22"/>
          <w:u w:val="single"/>
        </w:rPr>
        <w:t>APPLICATION</w:t>
      </w:r>
    </w:p>
    <w:p w14:paraId="5E5E945A" w14:textId="77777777" w:rsidR="005C2D3F" w:rsidRPr="00CB7CA5" w:rsidRDefault="005C2D3F" w:rsidP="005C2D3F">
      <w:pPr>
        <w:rPr>
          <w:rFonts w:cs="Arial"/>
          <w:szCs w:val="22"/>
        </w:rPr>
      </w:pPr>
    </w:p>
    <w:p w14:paraId="6D6E3189" w14:textId="77777777" w:rsidR="005C2D3F" w:rsidRPr="00CB7CA5" w:rsidRDefault="00512103" w:rsidP="005C2D3F">
      <w:pPr>
        <w:ind w:left="720"/>
        <w:rPr>
          <w:rFonts w:cs="Arial"/>
          <w:szCs w:val="22"/>
        </w:rPr>
      </w:pPr>
      <w:r w:rsidRPr="00CB7CA5">
        <w:rPr>
          <w:rFonts w:cs="Arial"/>
          <w:szCs w:val="22"/>
        </w:rPr>
        <w:t>The provisions stated herein shall apply to all employees of Blue Water Developmental Housing, Inc. (BWDH).</w:t>
      </w:r>
    </w:p>
    <w:p w14:paraId="376F43BD" w14:textId="77777777" w:rsidR="005C2D3F" w:rsidRPr="00CB7CA5" w:rsidRDefault="005C2D3F" w:rsidP="005C2D3F">
      <w:pPr>
        <w:rPr>
          <w:rFonts w:cs="Arial"/>
          <w:szCs w:val="22"/>
        </w:rPr>
      </w:pPr>
    </w:p>
    <w:p w14:paraId="428683F3" w14:textId="77777777" w:rsidR="005C2D3F" w:rsidRPr="00CB7CA5" w:rsidRDefault="005C2D3F" w:rsidP="005C2D3F">
      <w:pPr>
        <w:ind w:left="720" w:hanging="720"/>
        <w:rPr>
          <w:rFonts w:cs="Arial"/>
          <w:b/>
          <w:szCs w:val="22"/>
          <w:u w:val="single"/>
        </w:rPr>
      </w:pPr>
      <w:r w:rsidRPr="00CB7CA5">
        <w:rPr>
          <w:rFonts w:cs="Arial"/>
          <w:b/>
          <w:szCs w:val="22"/>
        </w:rPr>
        <w:t>II.</w:t>
      </w:r>
      <w:r w:rsidRPr="00CB7CA5">
        <w:rPr>
          <w:rFonts w:cs="Arial"/>
          <w:b/>
          <w:szCs w:val="22"/>
        </w:rPr>
        <w:tab/>
      </w:r>
      <w:r w:rsidRPr="00CB7CA5">
        <w:rPr>
          <w:rFonts w:cs="Arial"/>
          <w:b/>
          <w:szCs w:val="22"/>
          <w:u w:val="single"/>
        </w:rPr>
        <w:t>POLICY</w:t>
      </w:r>
    </w:p>
    <w:p w14:paraId="3D80D665" w14:textId="77777777" w:rsidR="005C2D3F" w:rsidRPr="00CB7CA5" w:rsidRDefault="005C2D3F" w:rsidP="005C2D3F">
      <w:pPr>
        <w:rPr>
          <w:rFonts w:cs="Arial"/>
          <w:szCs w:val="22"/>
        </w:rPr>
      </w:pPr>
    </w:p>
    <w:p w14:paraId="12ADC7B9" w14:textId="2551A8A2" w:rsidR="00512103" w:rsidRPr="00CB7CA5" w:rsidRDefault="00512103" w:rsidP="00512103">
      <w:pPr>
        <w:ind w:left="810"/>
        <w:rPr>
          <w:rFonts w:cs="Arial"/>
          <w:szCs w:val="22"/>
        </w:rPr>
      </w:pPr>
      <w:r w:rsidRPr="00CB7CA5">
        <w:rPr>
          <w:rFonts w:cs="Arial"/>
          <w:szCs w:val="22"/>
        </w:rPr>
        <w:t xml:space="preserve">It is the policy of </w:t>
      </w:r>
      <w:r w:rsidR="006F428E">
        <w:rPr>
          <w:rFonts w:cs="Arial"/>
          <w:szCs w:val="22"/>
        </w:rPr>
        <w:t>the organization</w:t>
      </w:r>
      <w:r w:rsidRPr="00CB7CA5">
        <w:rPr>
          <w:rFonts w:cs="Arial"/>
          <w:szCs w:val="22"/>
        </w:rPr>
        <w:t xml:space="preserve"> to reimburse employees working the following holidays at a rate of </w:t>
      </w:r>
      <w:r w:rsidR="00E61ACF">
        <w:rPr>
          <w:rFonts w:cs="Arial"/>
          <w:szCs w:val="22"/>
        </w:rPr>
        <w:t>double time</w:t>
      </w:r>
      <w:r w:rsidRPr="00CB7CA5">
        <w:rPr>
          <w:rFonts w:cs="Arial"/>
          <w:szCs w:val="22"/>
        </w:rPr>
        <w:t>.</w:t>
      </w:r>
    </w:p>
    <w:p w14:paraId="2FD3AE51" w14:textId="77777777" w:rsidR="00512103" w:rsidRPr="00CB7CA5" w:rsidRDefault="00512103" w:rsidP="00512103">
      <w:pPr>
        <w:ind w:left="810"/>
        <w:rPr>
          <w:rFonts w:cs="Arial"/>
          <w:szCs w:val="22"/>
        </w:rPr>
      </w:pPr>
    </w:p>
    <w:p w14:paraId="59610412" w14:textId="79E619DA" w:rsidR="002E5B5D" w:rsidRPr="002E5B5D" w:rsidRDefault="002E5B5D" w:rsidP="00D0617B">
      <w:pPr>
        <w:pStyle w:val="ListParagraph"/>
        <w:numPr>
          <w:ilvl w:val="0"/>
          <w:numId w:val="4"/>
        </w:numPr>
        <w:rPr>
          <w:rFonts w:cs="Arial"/>
        </w:rPr>
      </w:pPr>
      <w:r w:rsidRPr="002E5B5D">
        <w:rPr>
          <w:rFonts w:cs="Arial"/>
        </w:rPr>
        <w:t xml:space="preserve">New Year’s Day </w:t>
      </w:r>
    </w:p>
    <w:p w14:paraId="74F790C5" w14:textId="77777777" w:rsidR="002E5B5D" w:rsidRDefault="002E5B5D" w:rsidP="00D0617B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Easter</w:t>
      </w:r>
    </w:p>
    <w:p w14:paraId="1D2D7C40" w14:textId="77777777" w:rsidR="002E5B5D" w:rsidRDefault="002E5B5D" w:rsidP="00D0617B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Memorial Day</w:t>
      </w:r>
    </w:p>
    <w:p w14:paraId="4ED6A7E1" w14:textId="77777777" w:rsidR="002E5B5D" w:rsidRDefault="002E5B5D" w:rsidP="00D0617B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Fourth of July</w:t>
      </w:r>
    </w:p>
    <w:p w14:paraId="60F299EC" w14:textId="77777777" w:rsidR="002E5B5D" w:rsidRDefault="002E5B5D" w:rsidP="00D0617B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Labor Day </w:t>
      </w:r>
    </w:p>
    <w:p w14:paraId="79B6E559" w14:textId="6DAD3E0B" w:rsidR="002E5B5D" w:rsidRDefault="002E5B5D" w:rsidP="00D0617B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Thanksgiving  </w:t>
      </w:r>
    </w:p>
    <w:p w14:paraId="66D33669" w14:textId="626938DA" w:rsidR="00512103" w:rsidRPr="002E5B5D" w:rsidRDefault="00512103" w:rsidP="00D0617B">
      <w:pPr>
        <w:pStyle w:val="ListParagraph"/>
        <w:numPr>
          <w:ilvl w:val="0"/>
          <w:numId w:val="4"/>
        </w:numPr>
        <w:rPr>
          <w:rFonts w:cs="Arial"/>
        </w:rPr>
      </w:pPr>
      <w:r w:rsidRPr="002E5B5D">
        <w:rPr>
          <w:rFonts w:cs="Arial"/>
        </w:rPr>
        <w:t>Christmas Day</w:t>
      </w:r>
    </w:p>
    <w:p w14:paraId="34673ADC" w14:textId="0A0B5E1A" w:rsidR="00D0617B" w:rsidRDefault="00D0617B" w:rsidP="00D0617B">
      <w:pPr>
        <w:ind w:left="720" w:hanging="720"/>
        <w:rPr>
          <w:rFonts w:cs="Arial"/>
        </w:rPr>
      </w:pPr>
      <w:r w:rsidRPr="00D0617B">
        <w:rPr>
          <w:rFonts w:cs="Arial"/>
          <w:b/>
          <w:bCs/>
        </w:rPr>
        <w:t>III.</w:t>
      </w:r>
      <w:r>
        <w:rPr>
          <w:rFonts w:cs="Arial"/>
        </w:rPr>
        <w:tab/>
      </w:r>
      <w:r w:rsidRPr="00D0617B">
        <w:rPr>
          <w:rFonts w:cs="Arial"/>
          <w:b/>
          <w:bCs/>
          <w:u w:val="single"/>
        </w:rPr>
        <w:t>ELIGIBILITY</w:t>
      </w:r>
    </w:p>
    <w:p w14:paraId="67B0CD26" w14:textId="77777777" w:rsidR="00D0617B" w:rsidRDefault="00D0617B" w:rsidP="00D0617B">
      <w:pPr>
        <w:ind w:left="720" w:hanging="720"/>
        <w:rPr>
          <w:rFonts w:cs="Arial"/>
        </w:rPr>
      </w:pPr>
    </w:p>
    <w:p w14:paraId="46918243" w14:textId="2896A99B" w:rsidR="00D0617B" w:rsidRDefault="00D06BF3" w:rsidP="00D0617B">
      <w:pPr>
        <w:ind w:left="720"/>
        <w:rPr>
          <w:rFonts w:cs="Arial"/>
        </w:rPr>
      </w:pPr>
      <w:r>
        <w:rPr>
          <w:rFonts w:cs="Arial"/>
        </w:rPr>
        <w:t>Employees must w</w:t>
      </w:r>
      <w:r w:rsidRPr="009A0436">
        <w:rPr>
          <w:rFonts w:cs="Arial"/>
        </w:rPr>
        <w:t xml:space="preserve">ork a full shift </w:t>
      </w:r>
      <w:r w:rsidR="0025480F">
        <w:rPr>
          <w:rFonts w:cs="Arial"/>
        </w:rPr>
        <w:t xml:space="preserve">either </w:t>
      </w:r>
      <w:r w:rsidRPr="009A0436">
        <w:rPr>
          <w:rFonts w:cs="Arial"/>
        </w:rPr>
        <w:t>on the employee’s last scheduled work shift prior to the paid holiday</w:t>
      </w:r>
      <w:r w:rsidR="00D0617B">
        <w:rPr>
          <w:rFonts w:cs="Arial"/>
        </w:rPr>
        <w:t xml:space="preserve"> </w:t>
      </w:r>
      <w:r w:rsidR="00045E98">
        <w:rPr>
          <w:rFonts w:cs="Arial"/>
        </w:rPr>
        <w:t>and</w:t>
      </w:r>
      <w:r w:rsidR="0025480F">
        <w:rPr>
          <w:rFonts w:cs="Arial"/>
        </w:rPr>
        <w:t xml:space="preserve"> the employee's first scheduled full shift after the paid holiday</w:t>
      </w:r>
      <w:r w:rsidR="00EE0D2C">
        <w:rPr>
          <w:rFonts w:cs="Arial"/>
        </w:rPr>
        <w:t>.</w:t>
      </w:r>
    </w:p>
    <w:p w14:paraId="2A4AA9D6" w14:textId="77777777" w:rsidR="00D0617B" w:rsidRDefault="00D0617B" w:rsidP="00D06BF3">
      <w:pPr>
        <w:rPr>
          <w:rFonts w:cs="Arial"/>
        </w:rPr>
      </w:pPr>
    </w:p>
    <w:p w14:paraId="06FF8DC6" w14:textId="573F1663" w:rsidR="00D06BF3" w:rsidRPr="009A0436" w:rsidRDefault="00D06BF3" w:rsidP="00D0617B">
      <w:pPr>
        <w:ind w:left="720"/>
        <w:rPr>
          <w:rFonts w:cs="Arial"/>
        </w:rPr>
      </w:pPr>
      <w:r w:rsidRPr="009A0436">
        <w:rPr>
          <w:rFonts w:cs="Arial"/>
        </w:rPr>
        <w:t xml:space="preserve">Should the employee be unable to work </w:t>
      </w:r>
      <w:r w:rsidR="00D0617B">
        <w:rPr>
          <w:rFonts w:cs="Arial"/>
        </w:rPr>
        <w:t>a full shift on the employee’s last scheduled day</w:t>
      </w:r>
      <w:r w:rsidRPr="009A0436">
        <w:rPr>
          <w:rFonts w:cs="Arial"/>
        </w:rPr>
        <w:t xml:space="preserve"> because of illness, proof of illness will be required to qualify for the paid holiday.</w:t>
      </w:r>
    </w:p>
    <w:p w14:paraId="5B030581" w14:textId="77777777" w:rsidR="00D06BF3" w:rsidRDefault="00D06BF3" w:rsidP="00D06BF3">
      <w:pPr>
        <w:rPr>
          <w:rFonts w:cs="Arial"/>
        </w:rPr>
      </w:pPr>
    </w:p>
    <w:p w14:paraId="14EE9749" w14:textId="25139CBF" w:rsidR="00D06BF3" w:rsidRDefault="00D0617B" w:rsidP="00D0617B">
      <w:pPr>
        <w:ind w:firstLine="360"/>
        <w:rPr>
          <w:rFonts w:cs="Arial"/>
        </w:rPr>
      </w:pPr>
      <w:bookmarkStart w:id="0" w:name="_Hlk113615028"/>
      <w:r>
        <w:rPr>
          <w:rFonts w:cs="Arial"/>
        </w:rPr>
        <w:tab/>
      </w:r>
      <w:r w:rsidR="00D06BF3" w:rsidRPr="009A0436">
        <w:rPr>
          <w:rFonts w:cs="Arial"/>
        </w:rPr>
        <w:t xml:space="preserve">Employees </w:t>
      </w:r>
      <w:r w:rsidR="00D06BF3" w:rsidRPr="009A0436">
        <w:rPr>
          <w:rFonts w:cs="Arial"/>
          <w:i/>
          <w:iCs/>
        </w:rPr>
        <w:t>will not</w:t>
      </w:r>
      <w:r w:rsidR="00D06BF3" w:rsidRPr="009A0436">
        <w:rPr>
          <w:rFonts w:cs="Arial"/>
        </w:rPr>
        <w:t xml:space="preserve"> be entitled to holiday pay in the following circumstances:</w:t>
      </w:r>
    </w:p>
    <w:p w14:paraId="202E8165" w14:textId="4F107C85" w:rsidR="00D06BF3" w:rsidRPr="00A33339" w:rsidRDefault="00D06BF3" w:rsidP="00A33339">
      <w:pPr>
        <w:rPr>
          <w:rFonts w:cs="Arial"/>
        </w:rPr>
      </w:pPr>
    </w:p>
    <w:p w14:paraId="3326CA2C" w14:textId="77777777" w:rsidR="00D06BF3" w:rsidRPr="00D0617B" w:rsidRDefault="00D06BF3" w:rsidP="00D0617B">
      <w:pPr>
        <w:pStyle w:val="ListParagraph"/>
        <w:numPr>
          <w:ilvl w:val="0"/>
          <w:numId w:val="5"/>
        </w:numPr>
        <w:rPr>
          <w:rFonts w:cs="Arial"/>
        </w:rPr>
      </w:pPr>
      <w:r w:rsidRPr="00D0617B">
        <w:rPr>
          <w:rFonts w:cs="Arial"/>
        </w:rPr>
        <w:t xml:space="preserve">The employee is in an out-of-pay status or in a layoff status. </w:t>
      </w:r>
    </w:p>
    <w:p w14:paraId="7226C296" w14:textId="77777777" w:rsidR="00D06BF3" w:rsidRPr="00D0617B" w:rsidRDefault="00D06BF3" w:rsidP="00D0617B">
      <w:pPr>
        <w:pStyle w:val="ListParagraph"/>
        <w:numPr>
          <w:ilvl w:val="0"/>
          <w:numId w:val="5"/>
        </w:numPr>
        <w:rPr>
          <w:rFonts w:cs="Arial"/>
        </w:rPr>
      </w:pPr>
      <w:r w:rsidRPr="00D0617B">
        <w:rPr>
          <w:rFonts w:cs="Arial"/>
        </w:rPr>
        <w:t>The employee is on an unpaid leave of absence when the holiday occurs.</w:t>
      </w:r>
    </w:p>
    <w:bookmarkEnd w:id="0"/>
    <w:p w14:paraId="5403F511" w14:textId="1DF7150F" w:rsidR="00D06BF3" w:rsidRPr="009A0436" w:rsidRDefault="00D06BF3" w:rsidP="00D06BF3">
      <w:pPr>
        <w:rPr>
          <w:rFonts w:cs="Arial"/>
        </w:rPr>
      </w:pPr>
      <w:r w:rsidRPr="009A0436">
        <w:rPr>
          <w:rFonts w:cs="Arial"/>
        </w:rPr>
        <w:t xml:space="preserve">. </w:t>
      </w:r>
    </w:p>
    <w:p w14:paraId="0D44DAB7" w14:textId="77777777" w:rsidR="005C2D3F" w:rsidRPr="00CB7CA5" w:rsidRDefault="005C2D3F" w:rsidP="005C2D3F">
      <w:pPr>
        <w:ind w:left="720"/>
        <w:rPr>
          <w:rFonts w:cs="Arial"/>
          <w:szCs w:val="22"/>
        </w:rPr>
      </w:pPr>
    </w:p>
    <w:p w14:paraId="25875508" w14:textId="77777777" w:rsidR="005C2D3F" w:rsidRDefault="005C2D3F"/>
    <w:sectPr w:rsidR="005C2D3F" w:rsidSect="00506581">
      <w:headerReference w:type="default" r:id="rId7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977FB" w14:textId="77777777" w:rsidR="005C2D3F" w:rsidRDefault="005C2D3F" w:rsidP="005C2D3F">
      <w:r>
        <w:separator/>
      </w:r>
    </w:p>
  </w:endnote>
  <w:endnote w:type="continuationSeparator" w:id="0">
    <w:p w14:paraId="6D5A134B" w14:textId="77777777" w:rsidR="005C2D3F" w:rsidRDefault="005C2D3F" w:rsidP="005C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5D05F" w14:textId="77777777" w:rsidR="005C2D3F" w:rsidRDefault="005C2D3F" w:rsidP="005C2D3F">
      <w:r>
        <w:separator/>
      </w:r>
    </w:p>
  </w:footnote>
  <w:footnote w:type="continuationSeparator" w:id="0">
    <w:p w14:paraId="5A0115B3" w14:textId="77777777" w:rsidR="005C2D3F" w:rsidRDefault="005C2D3F" w:rsidP="005C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84B0B" w14:textId="77777777" w:rsidR="005C2D3F" w:rsidRPr="005C2D3F" w:rsidRDefault="005C2D3F" w:rsidP="005C2D3F">
    <w:pPr>
      <w:jc w:val="center"/>
      <w:rPr>
        <w:rFonts w:cs="Arial"/>
        <w:b/>
        <w:sz w:val="24"/>
      </w:rPr>
    </w:pPr>
    <w:r w:rsidRPr="005C2D3F">
      <w:rPr>
        <w:rFonts w:cs="Arial"/>
        <w:b/>
        <w:sz w:val="24"/>
      </w:rPr>
      <w:t>BLUE WATER DEVELOPMENTAL HOUSING, INC.</w:t>
    </w:r>
  </w:p>
  <w:p w14:paraId="51939FE4" w14:textId="77777777" w:rsidR="005C2D3F" w:rsidRPr="005C2D3F" w:rsidRDefault="005C2D3F" w:rsidP="005C2D3F">
    <w:pPr>
      <w:jc w:val="center"/>
      <w:rPr>
        <w:rFonts w:cs="Arial"/>
        <w:b/>
        <w:sz w:val="24"/>
      </w:rPr>
    </w:pPr>
    <w:r w:rsidRPr="005C2D3F">
      <w:rPr>
        <w:rFonts w:cs="Arial"/>
        <w:b/>
        <w:sz w:val="24"/>
      </w:rPr>
      <w:t xml:space="preserve">POLICIES AND PROCEDURES:  </w:t>
    </w:r>
    <w:r w:rsidR="00993601">
      <w:rPr>
        <w:rFonts w:cs="Arial"/>
        <w:b/>
        <w:sz w:val="24"/>
      </w:rPr>
      <w:t xml:space="preserve">EMPLOYEE </w:t>
    </w:r>
    <w:r w:rsidRPr="005C2D3F">
      <w:rPr>
        <w:rFonts w:cs="Arial"/>
        <w:b/>
        <w:sz w:val="24"/>
      </w:rPr>
      <w:t>INFORMATION</w:t>
    </w:r>
  </w:p>
  <w:p w14:paraId="2769BED4" w14:textId="77777777" w:rsidR="005C2D3F" w:rsidRPr="005C2D3F" w:rsidRDefault="005C2D3F" w:rsidP="005C2D3F">
    <w:pPr>
      <w:jc w:val="center"/>
      <w:rPr>
        <w:rFonts w:cs="Arial"/>
        <w:b/>
        <w:sz w:val="24"/>
      </w:rPr>
    </w:pPr>
  </w:p>
  <w:tbl>
    <w:tblPr>
      <w:tblW w:w="11610" w:type="dxa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680"/>
      <w:gridCol w:w="3150"/>
      <w:gridCol w:w="1890"/>
      <w:gridCol w:w="1890"/>
    </w:tblGrid>
    <w:tr w:rsidR="005C2D3F" w:rsidRPr="005C2D3F" w14:paraId="59819E81" w14:textId="77777777" w:rsidTr="00221962">
      <w:trPr>
        <w:cantSplit/>
        <w:trHeight w:val="537"/>
      </w:trPr>
      <w:tc>
        <w:tcPr>
          <w:tcW w:w="4680" w:type="dxa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</w:tcPr>
        <w:p w14:paraId="1ECA8C0E" w14:textId="77777777" w:rsidR="005C2D3F" w:rsidRPr="005C2D3F" w:rsidRDefault="005C2D3F" w:rsidP="005C2D3F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SUBMITTED BY:</w:t>
          </w:r>
        </w:p>
        <w:p w14:paraId="5B6BC209" w14:textId="493B08BD" w:rsidR="005C2D3F" w:rsidRPr="005C2D3F" w:rsidRDefault="003957D8" w:rsidP="005C2D3F">
          <w:pPr>
            <w:rPr>
              <w:rFonts w:cs="Arial"/>
              <w:sz w:val="24"/>
            </w:rPr>
          </w:pPr>
          <w:r>
            <w:rPr>
              <w:rFonts w:cs="Arial"/>
              <w:sz w:val="24"/>
            </w:rPr>
            <w:t xml:space="preserve">Lisa Beedon </w:t>
          </w:r>
        </w:p>
      </w:tc>
      <w:tc>
        <w:tcPr>
          <w:tcW w:w="3150" w:type="dxa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</w:tcPr>
        <w:p w14:paraId="4FFFC203" w14:textId="77777777" w:rsidR="005C2D3F" w:rsidRPr="005C2D3F" w:rsidRDefault="005C2D3F" w:rsidP="005C2D3F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DATE SUBMITTED:</w:t>
          </w:r>
        </w:p>
        <w:p w14:paraId="21C2D8C4" w14:textId="77777777" w:rsidR="005C2D3F" w:rsidRPr="008730E3" w:rsidRDefault="00512103" w:rsidP="008730E3">
          <w:pPr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10/31/81</w:t>
          </w:r>
        </w:p>
      </w:tc>
      <w:tc>
        <w:tcPr>
          <w:tcW w:w="3780" w:type="dxa"/>
          <w:gridSpan w:val="2"/>
          <w:tcBorders>
            <w:top w:val="double" w:sz="4" w:space="0" w:color="auto"/>
            <w:left w:val="nil"/>
            <w:right w:val="double" w:sz="4" w:space="0" w:color="auto"/>
          </w:tcBorders>
        </w:tcPr>
        <w:p w14:paraId="4B028B5A" w14:textId="77777777" w:rsidR="005C2D3F" w:rsidRPr="005C2D3F" w:rsidRDefault="005C2D3F" w:rsidP="005C2D3F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SECTION:</w:t>
          </w:r>
        </w:p>
        <w:p w14:paraId="3BA8E5B8" w14:textId="77777777" w:rsidR="005C2D3F" w:rsidRPr="005C2D3F" w:rsidRDefault="003D6C4E" w:rsidP="005C2D3F">
          <w:pPr>
            <w:rPr>
              <w:rFonts w:cs="Arial"/>
              <w:sz w:val="24"/>
            </w:rPr>
          </w:pPr>
          <w:r w:rsidRPr="003D6C4E">
            <w:rPr>
              <w:rFonts w:cs="Arial"/>
              <w:sz w:val="24"/>
            </w:rPr>
            <w:t>Human Resources</w:t>
          </w:r>
        </w:p>
      </w:tc>
    </w:tr>
    <w:tr w:rsidR="005C2D3F" w:rsidRPr="005C2D3F" w14:paraId="49678BEA" w14:textId="77777777" w:rsidTr="00221962">
      <w:trPr>
        <w:trHeight w:val="440"/>
      </w:trPr>
      <w:tc>
        <w:tcPr>
          <w:tcW w:w="4680" w:type="dxa"/>
          <w:tcBorders>
            <w:left w:val="double" w:sz="4" w:space="0" w:color="auto"/>
          </w:tcBorders>
        </w:tcPr>
        <w:p w14:paraId="5CAAB2D2" w14:textId="77777777" w:rsidR="005C2D3F" w:rsidRPr="005C2D3F" w:rsidRDefault="005C2D3F" w:rsidP="005C2D3F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BOARD APPROVED ON:</w:t>
          </w:r>
        </w:p>
        <w:p w14:paraId="1B9B1B13" w14:textId="22708196" w:rsidR="005C2D3F" w:rsidRPr="008730E3" w:rsidRDefault="003957D8" w:rsidP="005C2D3F">
          <w:pPr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09/2022</w:t>
          </w:r>
        </w:p>
      </w:tc>
      <w:tc>
        <w:tcPr>
          <w:tcW w:w="3150" w:type="dxa"/>
          <w:tcBorders>
            <w:right w:val="double" w:sz="4" w:space="0" w:color="auto"/>
          </w:tcBorders>
        </w:tcPr>
        <w:p w14:paraId="286A7A40" w14:textId="77777777" w:rsidR="005C2D3F" w:rsidRPr="005C2D3F" w:rsidRDefault="005C2D3F" w:rsidP="005C2D3F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DATE REVISED:</w:t>
          </w:r>
        </w:p>
        <w:p w14:paraId="17E0B4A1" w14:textId="2BB70941" w:rsidR="005C2D3F" w:rsidRPr="008730E3" w:rsidRDefault="003957D8" w:rsidP="005C2D3F">
          <w:pPr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10/01/2022</w:t>
          </w:r>
          <w:r w:rsidR="00A33339">
            <w:rPr>
              <w:rFonts w:cs="Arial"/>
              <w:sz w:val="24"/>
            </w:rPr>
            <w:t>,11/14/2022</w:t>
          </w:r>
          <w:r w:rsidR="00045E98">
            <w:rPr>
              <w:rFonts w:cs="Arial"/>
              <w:sz w:val="24"/>
            </w:rPr>
            <w:t>, 10/11/2023</w:t>
          </w:r>
          <w:r w:rsidR="00411109">
            <w:rPr>
              <w:rFonts w:cs="Arial"/>
              <w:sz w:val="24"/>
            </w:rPr>
            <w:t xml:space="preserve">, </w:t>
          </w:r>
        </w:p>
      </w:tc>
      <w:tc>
        <w:tcPr>
          <w:tcW w:w="3780" w:type="dxa"/>
          <w:gridSpan w:val="2"/>
          <w:tcBorders>
            <w:left w:val="nil"/>
            <w:right w:val="double" w:sz="4" w:space="0" w:color="auto"/>
          </w:tcBorders>
        </w:tcPr>
        <w:p w14:paraId="227E53FD" w14:textId="77777777" w:rsidR="005C2D3F" w:rsidRPr="005C2D3F" w:rsidRDefault="005C2D3F" w:rsidP="005C2D3F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SUBJECT:</w:t>
          </w:r>
        </w:p>
        <w:p w14:paraId="6368E008" w14:textId="77777777" w:rsidR="005C2D3F" w:rsidRPr="005C2D3F" w:rsidRDefault="00512103" w:rsidP="005C2D3F">
          <w:pPr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Holidays</w:t>
          </w:r>
        </w:p>
      </w:tc>
    </w:tr>
    <w:tr w:rsidR="00993601" w:rsidRPr="005C2D3F" w14:paraId="39F40A16" w14:textId="77777777" w:rsidTr="002177B6">
      <w:trPr>
        <w:cantSplit/>
        <w:trHeight w:val="422"/>
      </w:trPr>
      <w:tc>
        <w:tcPr>
          <w:tcW w:w="7830" w:type="dxa"/>
          <w:gridSpan w:val="2"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246F7743" w14:textId="77777777" w:rsidR="00993601" w:rsidRDefault="00993601" w:rsidP="00512103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ANNUAL REVIEW</w:t>
          </w:r>
          <w:r>
            <w:rPr>
              <w:rFonts w:cs="Arial"/>
              <w:b/>
              <w:sz w:val="24"/>
            </w:rPr>
            <w:t xml:space="preserve"> BY EXECUTIVE DIRECTOR</w:t>
          </w:r>
          <w:r w:rsidRPr="005C2D3F">
            <w:rPr>
              <w:rFonts w:cs="Arial"/>
              <w:b/>
              <w:sz w:val="24"/>
            </w:rPr>
            <w:t xml:space="preserve">:  </w:t>
          </w:r>
        </w:p>
        <w:p w14:paraId="633F045A" w14:textId="2E669639" w:rsidR="00993601" w:rsidRPr="008730E3" w:rsidRDefault="008E26B4" w:rsidP="00045E98">
          <w:pPr>
            <w:tabs>
              <w:tab w:val="left" w:pos="4935"/>
            </w:tabs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01/18/17</w:t>
          </w:r>
          <w:r w:rsidR="00E61ACF">
            <w:rPr>
              <w:rFonts w:cs="Arial"/>
              <w:sz w:val="24"/>
            </w:rPr>
            <w:t xml:space="preserve">, </w:t>
          </w:r>
          <w:r w:rsidR="00B46451">
            <w:rPr>
              <w:rFonts w:cs="Arial"/>
              <w:sz w:val="24"/>
            </w:rPr>
            <w:t>0</w:t>
          </w:r>
          <w:r w:rsidR="00E61ACF">
            <w:rPr>
              <w:rFonts w:cs="Arial"/>
              <w:sz w:val="24"/>
            </w:rPr>
            <w:t>1/18/19</w:t>
          </w:r>
          <w:r w:rsidR="009658EF">
            <w:rPr>
              <w:rFonts w:cs="Arial"/>
              <w:sz w:val="24"/>
            </w:rPr>
            <w:t>, 05/05/21</w:t>
          </w:r>
          <w:r w:rsidR="003957D8">
            <w:rPr>
              <w:rFonts w:cs="Arial"/>
              <w:sz w:val="24"/>
            </w:rPr>
            <w:t>,09/09/20</w:t>
          </w:r>
          <w:r w:rsidR="00045E98">
            <w:rPr>
              <w:rFonts w:cs="Arial"/>
              <w:sz w:val="24"/>
            </w:rPr>
            <w:t>22, 11/14/2022, 10/11/2023</w:t>
          </w:r>
          <w:r w:rsidR="00E26701">
            <w:rPr>
              <w:rFonts w:cs="Arial"/>
              <w:sz w:val="24"/>
            </w:rPr>
            <w:t>, 12/12/2024</w:t>
          </w:r>
        </w:p>
      </w:tc>
      <w:tc>
        <w:tcPr>
          <w:tcW w:w="1890" w:type="dxa"/>
          <w:tcBorders>
            <w:left w:val="nil"/>
            <w:bottom w:val="double" w:sz="4" w:space="0" w:color="auto"/>
            <w:right w:val="double" w:sz="4" w:space="0" w:color="auto"/>
          </w:tcBorders>
        </w:tcPr>
        <w:p w14:paraId="0396E7AF" w14:textId="77777777" w:rsidR="00993601" w:rsidRDefault="00993601" w:rsidP="00512103">
          <w:pPr>
            <w:rPr>
              <w:rFonts w:cs="Arial"/>
              <w:sz w:val="24"/>
            </w:rPr>
          </w:pPr>
          <w:r>
            <w:rPr>
              <w:rFonts w:cs="Arial"/>
              <w:b/>
              <w:sz w:val="24"/>
            </w:rPr>
            <w:t>POLICY #:</w:t>
          </w:r>
        </w:p>
        <w:p w14:paraId="4F42E922" w14:textId="77777777" w:rsidR="00993601" w:rsidRPr="00993601" w:rsidRDefault="00993601" w:rsidP="00512103">
          <w:pPr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ED-017</w:t>
          </w:r>
        </w:p>
      </w:tc>
      <w:tc>
        <w:tcPr>
          <w:tcW w:w="1890" w:type="dxa"/>
          <w:tcBorders>
            <w:left w:val="nil"/>
            <w:bottom w:val="double" w:sz="4" w:space="0" w:color="auto"/>
            <w:right w:val="double" w:sz="4" w:space="0" w:color="auto"/>
          </w:tcBorders>
        </w:tcPr>
        <w:p w14:paraId="54F69EE8" w14:textId="77777777" w:rsidR="00993601" w:rsidRDefault="00993601" w:rsidP="00993601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 xml:space="preserve">PAGE </w:t>
          </w:r>
          <w:r>
            <w:rPr>
              <w:rFonts w:cs="Arial"/>
              <w:b/>
              <w:sz w:val="24"/>
            </w:rPr>
            <w:t>#:</w:t>
          </w:r>
        </w:p>
        <w:p w14:paraId="143B1728" w14:textId="77777777" w:rsidR="00993601" w:rsidRPr="00993601" w:rsidRDefault="00993601" w:rsidP="00993601">
          <w:pPr>
            <w:rPr>
              <w:rFonts w:cs="Arial"/>
              <w:sz w:val="24"/>
            </w:rPr>
          </w:pPr>
          <w:r w:rsidRPr="00993601">
            <w:rPr>
              <w:rFonts w:cs="Arial"/>
              <w:sz w:val="24"/>
            </w:rPr>
            <w:fldChar w:fldCharType="begin"/>
          </w:r>
          <w:r w:rsidRPr="00993601">
            <w:rPr>
              <w:rFonts w:cs="Arial"/>
              <w:sz w:val="24"/>
            </w:rPr>
            <w:instrText xml:space="preserve"> PAGE   \* MERGEFORMAT </w:instrText>
          </w:r>
          <w:r w:rsidRPr="00993601">
            <w:rPr>
              <w:rFonts w:cs="Arial"/>
              <w:sz w:val="24"/>
            </w:rPr>
            <w:fldChar w:fldCharType="separate"/>
          </w:r>
          <w:r w:rsidR="00BC47F2">
            <w:rPr>
              <w:rFonts w:cs="Arial"/>
              <w:noProof/>
              <w:sz w:val="24"/>
            </w:rPr>
            <w:t>1</w:t>
          </w:r>
          <w:r w:rsidRPr="00993601">
            <w:rPr>
              <w:rFonts w:cs="Arial"/>
              <w:noProof/>
              <w:sz w:val="24"/>
            </w:rPr>
            <w:fldChar w:fldCharType="end"/>
          </w:r>
          <w:r w:rsidRPr="00993601">
            <w:rPr>
              <w:rFonts w:cs="Arial"/>
              <w:noProof/>
              <w:sz w:val="24"/>
            </w:rPr>
            <w:t xml:space="preserve"> of 1</w:t>
          </w:r>
        </w:p>
      </w:tc>
    </w:tr>
  </w:tbl>
  <w:p w14:paraId="6233BC71" w14:textId="77777777" w:rsidR="005C2D3F" w:rsidRDefault="005C2D3F">
    <w:pPr>
      <w:pStyle w:val="Header"/>
    </w:pPr>
  </w:p>
  <w:p w14:paraId="75D11BB5" w14:textId="77777777" w:rsidR="005C2D3F" w:rsidRDefault="005C2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7C95"/>
    <w:multiLevelType w:val="hybridMultilevel"/>
    <w:tmpl w:val="E0CEEC04"/>
    <w:lvl w:ilvl="0" w:tplc="AB44CF0E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655BBA"/>
    <w:multiLevelType w:val="multilevel"/>
    <w:tmpl w:val="6F34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D85DD7"/>
    <w:multiLevelType w:val="multilevel"/>
    <w:tmpl w:val="7FEE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115A13"/>
    <w:multiLevelType w:val="hybridMultilevel"/>
    <w:tmpl w:val="74AC7EF6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092300"/>
    <w:multiLevelType w:val="hybridMultilevel"/>
    <w:tmpl w:val="E2BCC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0925273">
    <w:abstractNumId w:val="0"/>
  </w:num>
  <w:num w:numId="2" w16cid:durableId="1131510526">
    <w:abstractNumId w:val="2"/>
  </w:num>
  <w:num w:numId="3" w16cid:durableId="1113935635">
    <w:abstractNumId w:val="1"/>
  </w:num>
  <w:num w:numId="4" w16cid:durableId="1154759978">
    <w:abstractNumId w:val="3"/>
  </w:num>
  <w:num w:numId="5" w16cid:durableId="1297636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3F"/>
    <w:rsid w:val="00045E98"/>
    <w:rsid w:val="001A60D0"/>
    <w:rsid w:val="0025371E"/>
    <w:rsid w:val="0025480F"/>
    <w:rsid w:val="00290179"/>
    <w:rsid w:val="002E5B5D"/>
    <w:rsid w:val="0035680B"/>
    <w:rsid w:val="003957D8"/>
    <w:rsid w:val="003D6C4E"/>
    <w:rsid w:val="00411109"/>
    <w:rsid w:val="00452486"/>
    <w:rsid w:val="004F4E5E"/>
    <w:rsid w:val="00506581"/>
    <w:rsid w:val="00512103"/>
    <w:rsid w:val="005C2D3F"/>
    <w:rsid w:val="006F2021"/>
    <w:rsid w:val="006F428E"/>
    <w:rsid w:val="00797A8C"/>
    <w:rsid w:val="008730E3"/>
    <w:rsid w:val="00890C63"/>
    <w:rsid w:val="008E26B4"/>
    <w:rsid w:val="009658EF"/>
    <w:rsid w:val="00993601"/>
    <w:rsid w:val="00A33339"/>
    <w:rsid w:val="00B23AEF"/>
    <w:rsid w:val="00B46451"/>
    <w:rsid w:val="00BA1CD9"/>
    <w:rsid w:val="00BC47F2"/>
    <w:rsid w:val="00CB7CA5"/>
    <w:rsid w:val="00D0617B"/>
    <w:rsid w:val="00D06BF3"/>
    <w:rsid w:val="00DA1EEF"/>
    <w:rsid w:val="00E26701"/>
    <w:rsid w:val="00E61ACF"/>
    <w:rsid w:val="00EE0D2C"/>
    <w:rsid w:val="00F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3F141"/>
  <w15:docId w15:val="{46D19A19-433C-43E0-8621-0A4D7088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HAns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0D0"/>
  </w:style>
  <w:style w:type="paragraph" w:styleId="Heading1">
    <w:name w:val="heading 1"/>
    <w:basedOn w:val="Normal"/>
    <w:next w:val="Normal"/>
    <w:link w:val="Heading1Char"/>
    <w:qFormat/>
    <w:rsid w:val="001A60D0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0D0"/>
    <w:rPr>
      <w:sz w:val="24"/>
      <w:szCs w:val="24"/>
    </w:rPr>
  </w:style>
  <w:style w:type="paragraph" w:styleId="NoSpacing">
    <w:name w:val="No Spacing"/>
    <w:uiPriority w:val="1"/>
    <w:qFormat/>
    <w:rsid w:val="001A60D0"/>
  </w:style>
  <w:style w:type="paragraph" w:styleId="ListParagraph">
    <w:name w:val="List Paragraph"/>
    <w:basedOn w:val="Normal"/>
    <w:uiPriority w:val="34"/>
    <w:qFormat/>
    <w:rsid w:val="001A60D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EnvelopeReturn">
    <w:name w:val="envelope return"/>
    <w:basedOn w:val="Normal"/>
    <w:uiPriority w:val="99"/>
    <w:semiHidden/>
    <w:unhideWhenUsed/>
    <w:rsid w:val="00BA1CD9"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2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D3F"/>
  </w:style>
  <w:style w:type="paragraph" w:styleId="Footer">
    <w:name w:val="footer"/>
    <w:basedOn w:val="Normal"/>
    <w:link w:val="FooterChar"/>
    <w:uiPriority w:val="99"/>
    <w:unhideWhenUsed/>
    <w:rsid w:val="005C2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BWDH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Stoutenburg</dc:creator>
  <cp:keywords/>
  <dc:description/>
  <cp:lastModifiedBy>Vonda Willey</cp:lastModifiedBy>
  <cp:revision>3</cp:revision>
  <dcterms:created xsi:type="dcterms:W3CDTF">2024-12-12T20:35:00Z</dcterms:created>
  <dcterms:modified xsi:type="dcterms:W3CDTF">2024-12-12T20:36:00Z</dcterms:modified>
</cp:coreProperties>
</file>